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fntdata" ContentType="application/x-fontdata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val="clear" w:color="auto" w:fill="35394F"/>
            <w:tcMar>
              <w:top w:w="240" w:type="dxa"/>
              <w:left w:w="0" w:type="dxa"/>
              <w:bottom w:w="240" w:type="dxa"/>
              <w:right w:w="0" w:type="dxa"/>
            </w:tcMar>
          </w:tcPr>
          <w:p>
            <w:pPr>
              <w:spacing w:before="0" w:after="0" w:line="240" w:lineRule="auto"/>
              <w:ind w:left="260" w:right="260"/>
              <w:jc w:val="right"/>
            </w:pPr>
            <w:hyperlink r:id="rId10">
              <w:r>
                <w:drawing>
                  <wp:inline xmlns:a="http://schemas.openxmlformats.org/drawingml/2006/main" xmlns:pic="http://schemas.openxmlformats.org/drawingml/2006/picture">
                    <wp:extent cx="720000" cy="391800"/>
                    <wp:docPr id="1" name="Picture 1" descr="ETHYX — ethyx.eu" title="ETHYX — ethyx.eu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logo-lockup.png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0000" cy="3918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before="0" w:after="0" w:line="240" w:lineRule="exact"/>
              <w:ind w:left="260" w:right="260"/>
            </w:pPr>
          </w:p>
          <w:p>
            <w:pPr>
              <w:spacing w:before="0" w:after="0" w:line="252" w:lineRule="auto"/>
              <w:ind w:left="260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FFFFFF"/>
                <w:sz w:val="44"/>
              </w:rPr>
              <w:t>DSGVO 30-60-90-Tage-Fahrplan</w:t>
            </w:r>
          </w:p>
          <w:p>
            <w:pPr>
              <w:spacing w:before="100" w:after="0" w:line="276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FFFFFF"/>
                <w:sz w:val="21"/>
              </w:rPr>
              <w:t>Ein 90-Tage-Aktionsplan zur Erreichung der DSGVO-Readiness · Für KMU · DE</w:t>
            </w:r>
          </w:p>
          <w:p>
            <w:pPr>
              <w:spacing w:before="140" w:after="0" w:line="288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E5E7EB"/>
                <w:sz w:val="15"/>
              </w:rPr>
              <w:t>Rechtlich geprüft von einem zertifizierten Datenschutzbeauftragten (CIPP/E) · Bereitgestellt von ETHYX · Version 1.0 · Juni 2026</w:t>
            </w:r>
          </w:p>
        </w:tc>
      </w:tr>
    </w:tbl>
    <w:p>
      <w:pPr>
        <w:shd w:val="clear" w:color="auto" w:fill="E34663"/>
        <w:spacing w:before="0" w:after="200" w:line="60" w:lineRule="exact"/>
      </w:pPr>
    </w:p>
    <w:p>
      <w:pPr>
        <w:spacing w:before="0" w:after="0" w:line="1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45"/>
        <w:gridCol w:w="9819"/>
      </w:tblGrid>
      <w:tr>
        <w:trPr>
          <w:cantSplit w:val="1"/>
        </w:trPr>
        <w:tc>
          <w:tcPr>
            <w:tcW w:type="dxa" w:w="45"/>
            <w:shd w:val="clear" w:color="auto" w:fill="E34663"/>
            <w:tcMar>
              <w:top w:w="130" w:type="dxa"/>
              <w:left w:w="0" w:type="dxa"/>
              <w:bottom w:w="130" w:type="dxa"/>
              <w:right w:w="0" w:type="dxa"/>
            </w:tcMar>
          </w:tcPr>
          <w:p/>
        </w:tc>
        <w:tc>
          <w:tcPr>
            <w:tcW w:type="dxa" w:w="9819"/>
            <w:shd w:val="clear" w:color="auto" w:fill="FEF6F7"/>
            <w:tcMar>
              <w:top w:w="130" w:type="dxa"/>
              <w:left w:w="0" w:type="dxa"/>
              <w:bottom w:w="130" w:type="dxa"/>
              <w:right w:w="0" w:type="dxa"/>
            </w:tcMar>
          </w:tcPr>
          <w:p>
            <w:pPr>
              <w:spacing w:before="0" w:after="0" w:line="312" w:lineRule="auto"/>
              <w:ind w:left="215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E34663"/>
                <w:spacing w:val="8"/>
                <w:sz w:val="16"/>
              </w:rPr>
              <w:t xml:space="preserve">» ANLEITUNG  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16"/>
              </w:rPr>
              <w:t>Dieser Fahrplan macht aus DSGVO-Compliance ein 90-Tage-Projekt mit drei Phasen: Erfassen (Tage 1–30), Dokumentieren &amp; beheben (Tage 31–60) und Verankern &amp; erhalten (Tage 61–90). Weisen Sie jeder Aktion einen Verantwortlichen und ein Zieldatum zu und haken Sie sie ab. Aktionen verweisen auf die ETHYX-Begleitvorlagen, die bei der Erledigung helfen. Löschen Sie diesen Kasten und alle [Platzhalter] vor Fertigstellung.</w:t>
            </w:r>
          </w:p>
        </w:tc>
      </w:tr>
    </w:tbl>
    <w:p>
      <w:pPr>
        <w:spacing w:before="0" w:after="0" w:line="1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So verwenden Sie diesen Fahrplan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90 Tage reichen, um ein typisches KMU von 'wir haben uns mit DSGVO kaum befasst' zu 'wir können eine glaubwürdige, dokumentierte Compliance-Lage nachweisen' zu bringen. Es macht Sie nicht perfekt – es schafft das Fundament und die Routinen. Arbeiten Sie von oben nach unten; spätere Phasen setzen die früheren voraus. Führen Sie die DSGVO-Compliance-Checkliste vor dem Start und erneut an Tag 90 durch, um den Fortschritt zu messen.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Die drei Phasen im Überblick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Tage 1–30 – Erfassen &amp; bewerten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Herausfinden, welche personenbezogenen Daten Sie halten, wo sie liegen und wo die größten Lücken sind.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Tage 31–60 – Dokumentieren &amp; beheben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Kerndokumente und Verträge erstellen und die wichtigsten Lücken schließen.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Tage 61–90 – Verankern &amp; erhalten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Menschen schulen, Pannen- und Anfragenbearbeitung einrichten und Compliance zur Routine machen.</w:t>
            </w:r>
          </w:p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TAGE 1–30 – Erfassen &amp; bewerten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Sie können keine Daten schützen oder dokumentieren, die Sie nicht erfasst haben. Verschaffen Sie sich im ersten Monat ein ehrliches Bild.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Begleitung: DSGVO-Compliance-Checkliste · VVT-Vorlage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72"/>
        <w:gridCol w:w="1885"/>
        <w:gridCol w:w="1269"/>
        <w:gridCol w:w="639"/>
      </w:tblGrid>
      <w:tr>
        <w:trPr>
          <w:cantSplit w:val="1"/>
          <w:tblHeader w:val="1"/>
        </w:trPr>
        <w:tc>
          <w:tcPr>
            <w:tcW w:type="dxa" w:w="6072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85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6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3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7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Gesamtverantwortung für Datenschutz zuweisen; entscheiden, ob ein DSB erforderlich ist.</w:t>
            </w:r>
          </w:p>
        </w:tc>
        <w:tc>
          <w:tcPr>
            <w:tcW w:type="dxa" w:w="188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DSGVO-Compliance-Checkliste durchführen für eine Ausgangs-Lückenliste.</w:t>
            </w:r>
          </w:p>
        </w:tc>
        <w:tc>
          <w:tcPr>
            <w:tcW w:type="dxa" w:w="188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Verzeichnis von Verarbeitungstätigkeiten (VVT) beginnen – jede Verarbeitung auflisten.</w:t>
            </w:r>
          </w:p>
        </w:tc>
        <w:tc>
          <w:tcPr>
            <w:tcW w:type="dxa" w:w="188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Jedes Tool/jeden Auftragsverarbeiter mit Personenbezug auflisten (CRM, E-Mail, HR, Finanzen, Hosting).</w:t>
            </w:r>
          </w:p>
        </w:tc>
        <w:tc>
          <w:tcPr>
            <w:tcW w:type="dxa" w:w="188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Besondere Datenkategorien und eingesetzte KI-Tools identifizieren.</w:t>
            </w:r>
          </w:p>
        </w:tc>
        <w:tc>
          <w:tcPr>
            <w:tcW w:type="dxa" w:w="188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Die Top 5 Risiken / Quick Wins für den Anfang identifizieren.</w:t>
            </w:r>
          </w:p>
        </w:tc>
        <w:tc>
          <w:tcPr>
            <w:tcW w:type="dxa" w:w="188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TAGE 31–60 – Dokumentieren &amp; beheben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Mit klarem Bild die Kerndokumente erstellen und die wichtigsten Lücken schließen.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Begleitung: Datenschutzerklärung · AVV · TOM-Checkliste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73"/>
        <w:gridCol w:w="1884"/>
        <w:gridCol w:w="1269"/>
        <w:gridCol w:w="638"/>
      </w:tblGrid>
      <w:tr>
        <w:trPr>
          <w:cantSplit w:val="1"/>
          <w:tblHeader w:val="1"/>
        </w:trPr>
        <w:tc>
          <w:tcPr>
            <w:tcW w:type="dxa" w:w="6073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84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6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38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Website- und Beschäftigten-Datenschutzhinweise veröffentlichen oder aktualisieren.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Auftragsverarbeitungsverträge (AVV) mit allen Auftragsverarbeitern schließen.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Technische &amp; organisatorische Maßnahmen (TOM) dokumentieren.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Aufbewahrungsfristen definieren und dokumentieren; Löschungen einplanen.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Rechtsgrundlage für jede Verarbeitung im VVT erfassen.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Einwilligungsnachweise dokumentieren und nicht-konforme Opt-ins korrigieren.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7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Internationale Übermittlungen prüfen und bei Bedarf SCC/TIA einrichten.</w:t>
            </w:r>
          </w:p>
        </w:tc>
        <w:tc>
          <w:tcPr>
            <w:tcW w:type="dxa" w:w="1884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3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keepNext w:val="1"/>
        <w:keepLines w:val="1"/>
        <w:shd w:val="clear" w:color="auto" w:fill="35394F"/>
        <w:spacing w:before="110" w:after="110" w:line="240" w:lineRule="auto"/>
        <w:ind w:left="0" w:right="0" w:firstLine="260"/>
      </w:pPr>
      <w:r>
        <w:rPr>
          <w:rFonts w:ascii="Funnel Display" w:hAnsi="Funnel Display" w:cs="Funnel Display" w:eastAsia="Funnel Display"/>
          <w:b/>
          <w:i w:val="0"/>
          <w:color w:val="FFFFFF"/>
          <w:sz w:val="23"/>
        </w:rPr>
        <w:t>TAGE 61–90 – Verankern &amp; erhalten</w:t>
      </w:r>
    </w:p>
    <w:p>
      <w:pPr>
        <w:keepNext w:val="1"/>
        <w:keepLines w:val="1"/>
        <w:spacing w:before="0" w:after="0" w:line="120" w:lineRule="exact"/>
      </w:pPr>
    </w:p>
    <w:p>
      <w:pPr>
        <w:keepNext w:val="1"/>
        <w:keepLines w:val="1"/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Aus Dokumenten Verhalten machen. Ziel ist eine Compliance-Lage, die Sie erhalten und nachweisen können.</w:t>
      </w:r>
    </w:p>
    <w:p>
      <w:pPr>
        <w:keepNext w:val="1"/>
        <w:keepLines w:val="1"/>
        <w:spacing w:before="40" w:after="160" w:line="300" w:lineRule="auto"/>
        <w:ind w:left="260" w:right="260"/>
      </w:pPr>
      <w:r>
        <w:rPr>
          <w:rFonts w:ascii="Inter" w:hAnsi="Inter" w:cs="Inter" w:eastAsia="Inter"/>
          <w:b/>
          <w:i w:val="0"/>
          <w:color w:val="E34663"/>
          <w:sz w:val="16"/>
        </w:rPr>
        <w:t>→ Begleitung: Schulungs-Tracker · DSFA-Vorlage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6069"/>
        <w:gridCol w:w="1886"/>
        <w:gridCol w:w="1270"/>
        <w:gridCol w:w="640"/>
      </w:tblGrid>
      <w:tr>
        <w:trPr>
          <w:cantSplit w:val="1"/>
          <w:tblHeader w:val="1"/>
        </w:trPr>
        <w:tc>
          <w:tcPr>
            <w:tcW w:type="dxa" w:w="6069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Aktion</w:t>
            </w:r>
          </w:p>
        </w:tc>
        <w:tc>
          <w:tcPr>
            <w:tcW w:type="dxa" w:w="1886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Verantwortlich</w:t>
            </w:r>
          </w:p>
        </w:tc>
        <w:tc>
          <w:tcPr>
            <w:tcW w:type="dxa" w:w="1270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Zieldatum</w:t>
            </w:r>
          </w:p>
        </w:tc>
        <w:tc>
          <w:tcPr>
            <w:tcW w:type="dxa" w:w="640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Erl.</w:t>
            </w:r>
          </w:p>
        </w:tc>
      </w:tr>
      <w:tr>
        <w:trPr>
          <w:cantSplit w:val="1"/>
        </w:trPr>
        <w:tc>
          <w:tcPr>
            <w:tcW w:type="dxa" w:w="60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Datenschutzschulung für alle Mitarbeitenden durchführen und Teilnahme dokumentieren.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Pannenreaktionsplan einrichten; Team über die 72-Stunden-Regel briefen.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Dokumentierten Prozess für Betroffenenanfragen einrichten (Auskunft, Löschung usw.).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DSFA-Prozess für neue Hochrisiko-Verarbeitung einführen.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Laufende Verantwortlichkeit und Überprüfungsrhythmus zuweisen (mind. jährlich).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  <w:tr>
        <w:trPr>
          <w:cantSplit w:val="1"/>
        </w:trPr>
        <w:tc>
          <w:tcPr>
            <w:tcW w:type="dxa" w:w="60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17"/>
              </w:rPr>
              <w:t>DSGVO-Compliance-Checkliste erneut durchführen, um den 90-Tage-Fortschritt zu messen.</w:t>
            </w:r>
          </w:p>
        </w:tc>
        <w:tc>
          <w:tcPr>
            <w:tcW w:type="dxa" w:w="188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7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64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90-Tage-Zusammenfassung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90-Tage-Status: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☐ Nicht begonnen   ☐ In Arbeit   ☐ Fundament steht   ☐ Wird gepflegt</w:t>
            </w:r>
          </w:p>
        </w:tc>
      </w:tr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Fahrplan-Verantwortlicher / Freigabe:</w:t>
            </w:r>
          </w:p>
        </w:tc>
        <w:tc>
          <w:tcPr>
            <w:tcW w:type="dxa" w:w="6313"/>
            <w:tcBorders>
              <w:bottom w:val="single" w:sz="2" w:space="0" w:color="E5E7EB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>______________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(Name)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______________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20"/>
              </w:rPr>
              <w:t xml:space="preserve"> (Datum)</w:t>
            </w:r>
          </w:p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 w:val="1"/>
        </w:trPr>
        <w:tc>
          <w:tcPr>
            <w:tcW w:type="dxa" w:w="9865"/>
            <w:tcBorders>
              <w:top w:val="single" w:sz="8" w:space="0" w:color="35394F"/>
            </w:tcBorders>
            <w:shd w:val="clear" w:color="auto" w:fill="F9FAFB"/>
            <w:tcMar>
              <w:top w:w="150" w:type="dxa"/>
              <w:left w:w="0" w:type="dxa"/>
              <w:bottom w:w="150" w:type="dxa"/>
              <w:right w:w="0" w:type="dxa"/>
            </w:tcMar>
          </w:tcPr>
          <w:p>
            <w:pPr>
              <w:spacing w:before="0" w:after="0" w:line="312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6B7280"/>
                <w:sz w:val="16"/>
              </w:rPr>
              <w:t>Dieser Fahrplan dient nur als Orientierung und stellt keine Rechtsberatung dar. Er basiert auf der Verordnung (EU) 2016/679 (DSGVO) und dem deutschen BDSG. Geprüft von einem zertifizierten Datenschutzbeauftragten (CIPP/E). Bereitgestellt von ETHYX – ethyx.eu. DSGVO-Höchststrafe: 20 Mio. € / 4 % des weltweiten Jahresumsatzes. Lassen Sie Ihr Compliance-Programm von einem qualifizierten Datenschutzbeauftragten oder Anwalt prüfen. Version 1.0 · Juni 2026.</w:t>
            </w:r>
          </w:p>
        </w:tc>
      </w:tr>
    </w:tbl>
    <w:sectPr w:rsidR="00FC693F" w:rsidRPr="0006063C" w:rsidSect="00034616">
      <w:footerReference w:type="default" r:id="rId11"/>
      <w:pgSz w:w="11906" w:h="16838"/>
      <w:pgMar w:top="794" w:right="1020" w:bottom="850" w:left="1020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ter">
    <w:altName w:val="Arial"/>
    <w:embedRegular r:id="rId1" w:fontKey="{05F4D190-4110-42C5-9BFA-67263CB6BF23}"/>
    <w:embedBold r:id="rId2" w:fontKey="{076360E8-D087-4EB0-9B35-C5DF737765F5}"/>
  </w:font>
  <w:font w:name="Funnel Display">
    <w:altName w:val="Arial"/>
    <w:embedBold r:id="rId3" w:fontKey="{8C76AF43-56EA-4167-9603-94EE205838C4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0" w:lineRule="exact"/>
    </w:pPr>
    <w:r/>
  </w:p>
  <w:tbl>
    <w:tblPr>
      <w:tblW w:w="98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firstColumn="1" w:firstRow="1" w:lastColumn="0" w:lastRow="0" w:noHBand="0" w:noVBand="1" w:val="04A0"/>
    </w:tblPr>
    <w:tblGrid>
      <w:gridCol w:w="9371"/>
      <w:gridCol w:w="493"/>
    </w:tblGrid>
    <w:tr>
      <w:tc>
        <w:tcPr>
          <w:tcW w:type="dxa" w:w="9371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0" w:type="dxa"/>
          </w:tcMar>
        </w:tcPr>
        <w:p>
          <w:pPr>
            <w:spacing w:before="0" w:after="0" w:line="240" w:lineRule="auto"/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DSGVO 30-60-90-Tage-Fahrplan · Geprüft von einem zertifizierten Datenschutzbeauftragten (CIPP/E) · Bereitgestellt von ETHYX (</w:t>
          </w:r>
          <w:hyperlink r:id="rId1">
            <w:r>
              <w:rPr>
                <w:rFonts w:ascii="Inter" w:hAnsi="Inter" w:cs="Inter" w:eastAsia="Inter"/>
                <w:b w:val="0"/>
                <w:i w:val="0"/>
                <w:color w:val="6B7280"/>
                <w:sz w:val="14"/>
              </w:rPr>
              <w:t>ethyx.eu</w:t>
            </w:r>
          </w:hyperlink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) · Nur zur Orientierung – keine Rechtsberatung</w:t>
          </w:r>
        </w:p>
      </w:tc>
      <w:tc>
        <w:tcPr>
          <w:tcW w:type="dxa" w:w="493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260" w:type="dxa"/>
          </w:tcMar>
        </w:tcPr>
        <w:p>
          <w:pPr>
            <w:spacing w:before="0" w:after="0" w:line="240" w:lineRule="auto"/>
            <w:jc w:val="right"/>
            <w:rPr>
              <w:rFonts w:ascii="Inter" w:hAnsi="Inter" w:cs="Inter" w:eastAsia="Inter"/>
              <w:b w:val="0"/>
              <w:i w:val="0"/>
              <w:color w:val="6B7280"/>
              <w:sz w:val="14"/>
            </w:rPr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begin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instrText xml:space="preserve"> PAGE </w:instrText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separate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 w:val="true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00" w:lineRule="auto"/>
    </w:pPr>
    <w:rPr>
      <w:rFonts w:ascii="Inter" w:hAnsi="Inter" w:cs="Inter" w:eastAsia="Inter"/>
      <w:color w:val="35394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ethyx.eu/?utm_source=gated-asset&amp;utm_medium=document&amp;utm_campaign=dsgvo-30-60-90-tage-fahrplan-de" TargetMode="External"/><Relationship Id="rId11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fntdata"/><Relationship Id="rId2" Type="http://schemas.openxmlformats.org/officeDocument/2006/relationships/font" Target="fonts/font2.fntdata"/><Relationship Id="rId3" Type="http://schemas.openxmlformats.org/officeDocument/2006/relationships/font" Target="fonts/font3.fntdata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ethyx.eu/?utm_source=gated-asset&amp;utm_medium=document&amp;utm_campaign=dsgvo-30-60-90-tage-fahrplan-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DSGVO 30-60-90-Tage-Fahrplan</dc:title>
  <dc:subject/>
  <dc:creator>ETHYX</dc:creator>
  <cp:keywords/>
  <dc:description>Rechtlich geprüft von einem zertifizierten Datenschutzbeauftragten (CIPP/E) · Bereitgestellt von ETHYX · Version 1.0 · Juni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